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</w:rPr>
              <w:t>2020年丽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color w:val="000000"/>
                <w:sz w:val="32"/>
              </w:rPr>
              <w:t>水市教育局直属学校公开招聘教育人才计划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b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招聘岗位(专业)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招聘岗位类别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招聘人数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学历要求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所需专业科目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联系人及联系电话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报名材料投递邮箱地址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浙江省丽水中学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高中语文教师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语文类相关专业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叶晓霞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0578-2131020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lszx2131020@163.com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高中政治教师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政治类相关专业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高中历史教师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历史类相关专业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高中地理教师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地理类相关专业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丽水第二高级中学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高中政治教师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政治类相关专业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卢其兵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0578-2301982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397143063@qq.com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高中历史教师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历史类相关专业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丽水市职业高级中学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中职语文教师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汉语言文学类相关专业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金良勇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0578-2296887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271393130@qq.com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中职数学教师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数学类相关专业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电子商务教师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电子商务专业、国际经济与贸易专业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丽水市实验学校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小学语文教师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汉语言文学、小学教育及相关专业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刘海富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0578-2132226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1099040228@qq.com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小学美术教师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美术学类相关专业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初中数学教师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数学类相关专业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初中社会教师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初中社会类相关专业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丽水市秀山小学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小学语文教师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汉语言文学、小学教育及相关专业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兰丽萍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0578-2652200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29791454@qq.com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丽水市实验幼儿园教育集团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幼儿教师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符合一类、二类、三类教育人才的学历规定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学前教育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张琦敏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0578-2381103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66CC"/>
                <w:sz w:val="24"/>
                <w:u w:val="single"/>
              </w:rPr>
            </w:pPr>
            <w:r>
              <w:rPr>
                <w:rFonts w:hint="eastAsia" w:ascii="宋体" w:hAnsi="宋体"/>
                <w:color w:val="0066CC"/>
                <w:sz w:val="24"/>
                <w:u w:val="single"/>
              </w:rPr>
              <w:t>569436761@qq.com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总计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FF0000"/>
                <w:sz w:val="20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25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2020-06-10T01:29:00Z</dcterms:created>
  <dc:creator>柳乘一</dc:creator>
  <cp:lastModifiedBy>柳乘一</cp:lastModifiedBy>
  <dcterms:modified xsi:type="dcterms:W3CDTF">2020-06-10T01:30:10Z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